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76"/>
      </w:tblGrid>
      <w:tr w:rsidR="00EF08B5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EF08B5" w:rsidRDefault="00FE48D8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08B5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EF08B5" w:rsidRDefault="00FE48D8">
            <w:pPr>
              <w:pStyle w:val="ConsPlusTitlePage0"/>
              <w:jc w:val="center"/>
            </w:pPr>
            <w:proofErr w:type="gramStart"/>
            <w:r>
              <w:rPr>
                <w:sz w:val="48"/>
              </w:rPr>
              <w:t>Решение Совета МО городского округа "Сыктывкар" от 28.03.2024 N 29/2024-416</w:t>
            </w:r>
            <w:r>
              <w:rPr>
                <w:sz w:val="48"/>
              </w:rPr>
              <w:br/>
              <w:t>"</w:t>
            </w:r>
            <w:r>
              <w:rPr>
                <w:sz w:val="48"/>
              </w:rPr>
              <w:t>Об утверждении Положения об установлении льготной арендной платы при передаче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</w:t>
            </w:r>
            <w:r>
              <w:rPr>
                <w:sz w:val="48"/>
              </w:rPr>
              <w:t xml:space="preserve"> Федерации, находящихся в неудовлетворительном состоянии, являющихся собственностью муниципального образования городского округа "Сыктывкар"</w:t>
            </w:r>
            <w:proofErr w:type="gramEnd"/>
          </w:p>
        </w:tc>
      </w:tr>
      <w:tr w:rsidR="00EF08B5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EF08B5" w:rsidRDefault="00FE48D8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9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30.05.2025</w:t>
            </w:r>
            <w:r>
              <w:rPr>
                <w:sz w:val="28"/>
              </w:rPr>
              <w:br/>
              <w:t> </w:t>
            </w:r>
          </w:p>
        </w:tc>
      </w:tr>
    </w:tbl>
    <w:p w:rsidR="00EF08B5" w:rsidRDefault="00EF08B5">
      <w:pPr>
        <w:pStyle w:val="ConsPlusNormal0"/>
        <w:sectPr w:rsidR="00EF08B5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EF08B5" w:rsidRDefault="00EF08B5">
      <w:pPr>
        <w:pStyle w:val="ConsPlusNormal0"/>
        <w:outlineLvl w:val="0"/>
      </w:pPr>
    </w:p>
    <w:p w:rsidR="00EF08B5" w:rsidRDefault="00FE48D8">
      <w:pPr>
        <w:pStyle w:val="ConsPlusTitle0"/>
        <w:jc w:val="center"/>
        <w:outlineLvl w:val="0"/>
      </w:pPr>
      <w:r>
        <w:t>СОВЕТ МУНИЦИПАЛЬНОГО ОБРАЗОВАНИЯ</w:t>
      </w:r>
    </w:p>
    <w:p w:rsidR="00EF08B5" w:rsidRDefault="00FE48D8">
      <w:pPr>
        <w:pStyle w:val="ConsPlusTitle0"/>
        <w:jc w:val="center"/>
      </w:pPr>
      <w:r>
        <w:t>ГОРОДСКОГО ОКРУГА "СЫКТЫВКАР"</w:t>
      </w:r>
    </w:p>
    <w:p w:rsidR="00EF08B5" w:rsidRDefault="00EF08B5">
      <w:pPr>
        <w:pStyle w:val="ConsPlusTitle0"/>
      </w:pPr>
    </w:p>
    <w:p w:rsidR="00EF08B5" w:rsidRDefault="00FE48D8">
      <w:pPr>
        <w:pStyle w:val="ConsPlusTitle0"/>
        <w:jc w:val="center"/>
      </w:pPr>
      <w:r>
        <w:t>РЕШЕНИЕ</w:t>
      </w:r>
    </w:p>
    <w:p w:rsidR="00EF08B5" w:rsidRDefault="00FE48D8">
      <w:pPr>
        <w:pStyle w:val="ConsPlusTitle0"/>
        <w:jc w:val="center"/>
      </w:pPr>
      <w:r>
        <w:t>от 28 марта 2024 г. N 29/2024-416</w:t>
      </w:r>
    </w:p>
    <w:p w:rsidR="00EF08B5" w:rsidRDefault="00EF08B5">
      <w:pPr>
        <w:pStyle w:val="ConsPlusTitle0"/>
      </w:pPr>
    </w:p>
    <w:p w:rsidR="00EF08B5" w:rsidRDefault="00FE48D8">
      <w:pPr>
        <w:pStyle w:val="ConsPlusTitle0"/>
        <w:jc w:val="center"/>
      </w:pPr>
      <w:r>
        <w:t>ОБ УТВЕРЖДЕНИИ ПОЛОЖЕНИЯ ОБ УСТАНОВЛЕНИИ</w:t>
      </w:r>
    </w:p>
    <w:p w:rsidR="00EF08B5" w:rsidRDefault="00FE48D8">
      <w:pPr>
        <w:pStyle w:val="ConsPlusTitle0"/>
        <w:jc w:val="center"/>
      </w:pPr>
      <w:r>
        <w:t>ЛЬГОТНОЙ АРЕНДНОЙ ПЛАТЫ ПРИ ПЕРЕДАЧЕ В АРЕНДУ</w:t>
      </w:r>
    </w:p>
    <w:p w:rsidR="00EF08B5" w:rsidRDefault="00FE48D8">
      <w:pPr>
        <w:pStyle w:val="ConsPlusTitle0"/>
        <w:jc w:val="center"/>
      </w:pPr>
      <w:r>
        <w:t>НЕИСПОЛЬЗУЕМЫХ ОБЪЕКТОВ КУЛЬТУРНОГО НАСЛЕДИЯ,</w:t>
      </w:r>
    </w:p>
    <w:p w:rsidR="00EF08B5" w:rsidRDefault="00FE48D8">
      <w:pPr>
        <w:pStyle w:val="ConsPlusTitle0"/>
        <w:jc w:val="center"/>
      </w:pPr>
      <w:r>
        <w:t>ВКЛЮЧЕННЫХ В ЕДИНЫЙ ГОСУДАРСТВЕННЫЙ РЕЕСТР ОБЪЕКТОВ</w:t>
      </w:r>
    </w:p>
    <w:p w:rsidR="00EF08B5" w:rsidRDefault="00FE48D8">
      <w:pPr>
        <w:pStyle w:val="ConsPlusTitle0"/>
        <w:jc w:val="center"/>
      </w:pPr>
      <w:r>
        <w:t>КУЛЬТУРНОГО НАСЛЕДИЯ (ПАМЯТНИКОВ ИСТОРИИ И КУЛЬТУРЫ)</w:t>
      </w:r>
    </w:p>
    <w:p w:rsidR="00EF08B5" w:rsidRDefault="00FE48D8">
      <w:pPr>
        <w:pStyle w:val="ConsPlusTitle0"/>
        <w:jc w:val="center"/>
      </w:pPr>
      <w:r>
        <w:t>НАРОДОВ РОССИЙСКОЙ</w:t>
      </w:r>
      <w:r>
        <w:t xml:space="preserve"> ФЕДЕРАЦИИ, НАХОДЯЩИХСЯ</w:t>
      </w:r>
    </w:p>
    <w:p w:rsidR="00EF08B5" w:rsidRDefault="00FE48D8">
      <w:pPr>
        <w:pStyle w:val="ConsPlusTitle0"/>
        <w:jc w:val="center"/>
      </w:pPr>
      <w:r>
        <w:t xml:space="preserve">В НЕУДОВЛЕТВОРИТЕЛЬНОМ СОСТОЯНИИ, </w:t>
      </w:r>
      <w:proofErr w:type="gramStart"/>
      <w:r>
        <w:t>ЯВЛЯЮЩИХСЯ</w:t>
      </w:r>
      <w:proofErr w:type="gramEnd"/>
    </w:p>
    <w:p w:rsidR="00EF08B5" w:rsidRDefault="00FE48D8">
      <w:pPr>
        <w:pStyle w:val="ConsPlusTitle0"/>
        <w:jc w:val="center"/>
      </w:pPr>
      <w:r>
        <w:t>СОБСТВЕННОСТЬЮ МУНИЦИПАЛЬНОГО ОБРАЗОВАНИЯ</w:t>
      </w:r>
    </w:p>
    <w:p w:rsidR="00EF08B5" w:rsidRDefault="00FE48D8">
      <w:pPr>
        <w:pStyle w:val="ConsPlusTitle0"/>
        <w:jc w:val="center"/>
      </w:pPr>
      <w:r>
        <w:t>ГОРОДСКОГО ОКРУГА "СЫКТЫВКАР"</w:t>
      </w:r>
    </w:p>
    <w:p w:rsidR="00EF08B5" w:rsidRDefault="00EF08B5">
      <w:pPr>
        <w:pStyle w:val="ConsPlusNormal0"/>
      </w:pPr>
    </w:p>
    <w:p w:rsidR="00EF08B5" w:rsidRDefault="00FE48D8">
      <w:pPr>
        <w:pStyle w:val="ConsPlusNormal0"/>
        <w:ind w:firstLine="540"/>
        <w:jc w:val="both"/>
      </w:pPr>
      <w:proofErr w:type="gramStart"/>
      <w:r>
        <w:t xml:space="preserve">Руководствуясь </w:t>
      </w:r>
      <w:hyperlink r:id="rId10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color w:val="0000FF"/>
          </w:rPr>
          <w:t>статьей 16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1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color w:val="0000FF"/>
          </w:rPr>
          <w:t>пунктом 7 статьи 14.1</w:t>
        </w:r>
      </w:hyperlink>
      <w:r>
        <w:t xml:space="preserve"> Федерального закона от 25.06.2002 N 73-ФЗ "Об объектах культурного наследия (памятниках истории и культуры) народов Российской Федерации", </w:t>
      </w:r>
      <w:hyperlink r:id="rId12" w:tooltip="Приказ ФАС России от 21.03.2023 N 147/23 (ред. от 23.09.2024) &quot;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">
        <w:r>
          <w:rPr>
            <w:color w:val="0000FF"/>
          </w:rPr>
          <w:t>Приказом</w:t>
        </w:r>
      </w:hyperlink>
      <w:r>
        <w:t xml:space="preserve"> Федеральной антимонопольной службы России от 21.03.2023 N 147/23 "О порядке проведения конкурсов или аукционов на право заключения договоров аренды</w:t>
      </w:r>
      <w:proofErr w:type="gramEnd"/>
      <w:r>
        <w:t>, договоров безвозмездного пользования, договоров доверите</w:t>
      </w:r>
      <w:r>
        <w:t>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</w:t>
      </w:r>
      <w:r>
        <w:t xml:space="preserve">гов в форме конкурса", </w:t>
      </w:r>
      <w:hyperlink r:id="rId13" w:tooltip="&quot;Устав муниципального образования городского округа &quot;Сыктывкар&quot; (принят Советом МО городского округа &quot;Сыктывкар&quot; 18.01.2006) (ред. от 31.03.2025) (Зарегистрировано в отделе международной правовой помощи, юридической экспертизы и федерального регистра нормативн">
        <w:r>
          <w:rPr>
            <w:color w:val="0000FF"/>
          </w:rPr>
          <w:t>Уставом</w:t>
        </w:r>
      </w:hyperlink>
      <w:r>
        <w:t xml:space="preserve"> муниципального образования городского округа "Сыктывкар", Совет муниципального образования</w:t>
      </w:r>
      <w:r>
        <w:t xml:space="preserve"> городского округа "Сыктывкар" решил: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 xml:space="preserve">1. Утвердить </w:t>
      </w:r>
      <w:hyperlink w:anchor="P38" w:tooltip="ПОЛОЖЕНИЕ">
        <w:r>
          <w:rPr>
            <w:color w:val="0000FF"/>
          </w:rPr>
          <w:t>Положение</w:t>
        </w:r>
      </w:hyperlink>
      <w:r>
        <w:t xml:space="preserve"> об установлении льготной арендной платы при передаче в аренду неиспользуемых объектов культурного наследия, включенных в единый государственный реестр объ</w:t>
      </w:r>
      <w:r>
        <w:t>ектов культурного наследия (памятников истории и культуры) народов Российской Федерации, находящихся в неудовлетворительном состоянии, являющихся собственностью муниципального образования городского округа "Сыктывкар", согласно приложению к настоящему реше</w:t>
      </w:r>
      <w:r>
        <w:t>нию.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2. Настоящее решение вступает в силу со дня его официального опубликования.</w:t>
      </w:r>
    </w:p>
    <w:p w:rsidR="00EF08B5" w:rsidRDefault="00EF08B5">
      <w:pPr>
        <w:pStyle w:val="ConsPlusNormal0"/>
      </w:pPr>
    </w:p>
    <w:p w:rsidR="00EF08B5" w:rsidRDefault="00FE48D8">
      <w:pPr>
        <w:pStyle w:val="ConsPlusNormal0"/>
        <w:jc w:val="right"/>
      </w:pPr>
      <w:r>
        <w:t>Глава МО ГО "Сыктывкар" -</w:t>
      </w:r>
    </w:p>
    <w:p w:rsidR="00EF08B5" w:rsidRDefault="00FE48D8">
      <w:pPr>
        <w:pStyle w:val="ConsPlusNormal0"/>
        <w:jc w:val="right"/>
      </w:pPr>
      <w:r>
        <w:t>руководитель администрации</w:t>
      </w:r>
    </w:p>
    <w:p w:rsidR="00EF08B5" w:rsidRDefault="00FE48D8">
      <w:pPr>
        <w:pStyle w:val="ConsPlusNormal0"/>
        <w:jc w:val="right"/>
      </w:pPr>
      <w:r>
        <w:t>В.ГОЛДИН</w:t>
      </w:r>
    </w:p>
    <w:p w:rsidR="00EF08B5" w:rsidRDefault="00EF08B5">
      <w:pPr>
        <w:pStyle w:val="ConsPlusNormal0"/>
      </w:pPr>
    </w:p>
    <w:p w:rsidR="00EF08B5" w:rsidRDefault="00FE48D8">
      <w:pPr>
        <w:pStyle w:val="ConsPlusNormal0"/>
        <w:jc w:val="right"/>
      </w:pPr>
      <w:r>
        <w:t>Председатель Совета</w:t>
      </w:r>
    </w:p>
    <w:p w:rsidR="00EF08B5" w:rsidRDefault="00FE48D8">
      <w:pPr>
        <w:pStyle w:val="ConsPlusNormal0"/>
        <w:jc w:val="right"/>
      </w:pPr>
      <w:r>
        <w:t>МО ГО "Сыктывкар"</w:t>
      </w:r>
    </w:p>
    <w:p w:rsidR="00EF08B5" w:rsidRDefault="00FE48D8">
      <w:pPr>
        <w:pStyle w:val="ConsPlusNormal0"/>
        <w:jc w:val="right"/>
      </w:pPr>
      <w:r>
        <w:t>А.ДЮ</w:t>
      </w:r>
    </w:p>
    <w:p w:rsidR="00EF08B5" w:rsidRDefault="00EF08B5">
      <w:pPr>
        <w:pStyle w:val="ConsPlusNormal0"/>
      </w:pPr>
    </w:p>
    <w:p w:rsidR="00EF08B5" w:rsidRDefault="00EF08B5">
      <w:pPr>
        <w:pStyle w:val="ConsPlusNormal0"/>
      </w:pPr>
    </w:p>
    <w:p w:rsidR="00EF08B5" w:rsidRDefault="00EF08B5">
      <w:pPr>
        <w:pStyle w:val="ConsPlusNormal0"/>
      </w:pPr>
    </w:p>
    <w:p w:rsidR="00EF08B5" w:rsidRDefault="00EF08B5">
      <w:pPr>
        <w:pStyle w:val="ConsPlusNormal0"/>
      </w:pPr>
    </w:p>
    <w:p w:rsidR="00EF08B5" w:rsidRDefault="00EF08B5">
      <w:pPr>
        <w:pStyle w:val="ConsPlusNormal0"/>
      </w:pPr>
    </w:p>
    <w:p w:rsidR="00EF08B5" w:rsidRDefault="00FE48D8">
      <w:pPr>
        <w:pStyle w:val="ConsPlusNormal0"/>
        <w:jc w:val="right"/>
        <w:outlineLvl w:val="0"/>
      </w:pPr>
      <w:r>
        <w:t>Приложение</w:t>
      </w:r>
    </w:p>
    <w:p w:rsidR="00EF08B5" w:rsidRDefault="00FE48D8">
      <w:pPr>
        <w:pStyle w:val="ConsPlusNormal0"/>
        <w:jc w:val="right"/>
      </w:pPr>
      <w:r>
        <w:t>к решению</w:t>
      </w:r>
    </w:p>
    <w:p w:rsidR="00EF08B5" w:rsidRDefault="00FE48D8">
      <w:pPr>
        <w:pStyle w:val="ConsPlusNormal0"/>
        <w:jc w:val="right"/>
      </w:pPr>
      <w:r>
        <w:t>Совета МО ГО "Сыктывкар"</w:t>
      </w:r>
    </w:p>
    <w:p w:rsidR="00EF08B5" w:rsidRDefault="00FE48D8">
      <w:pPr>
        <w:pStyle w:val="ConsPlusNormal0"/>
        <w:jc w:val="right"/>
      </w:pPr>
      <w:r>
        <w:t>от 28 марта 2024 г. N 29/2024-416</w:t>
      </w:r>
    </w:p>
    <w:p w:rsidR="00EF08B5" w:rsidRDefault="00EF08B5">
      <w:pPr>
        <w:pStyle w:val="ConsPlusNormal0"/>
      </w:pPr>
    </w:p>
    <w:p w:rsidR="00EF08B5" w:rsidRDefault="00FE48D8">
      <w:pPr>
        <w:pStyle w:val="ConsPlusTitle0"/>
        <w:jc w:val="center"/>
      </w:pPr>
      <w:bookmarkStart w:id="1" w:name="P38"/>
      <w:bookmarkEnd w:id="1"/>
      <w:r>
        <w:t>ПОЛОЖЕНИЕ</w:t>
      </w:r>
    </w:p>
    <w:p w:rsidR="00EF08B5" w:rsidRDefault="00FE48D8">
      <w:pPr>
        <w:pStyle w:val="ConsPlusTitle0"/>
        <w:jc w:val="center"/>
      </w:pPr>
      <w:r>
        <w:t>ОБ УСТАНОВЛЕНИИ ЛЬГОТНОЙ АРЕНДНОЙ ПЛАТЫ</w:t>
      </w:r>
    </w:p>
    <w:p w:rsidR="00EF08B5" w:rsidRDefault="00FE48D8">
      <w:pPr>
        <w:pStyle w:val="ConsPlusTitle0"/>
        <w:jc w:val="center"/>
      </w:pPr>
      <w:r>
        <w:t>ПРИ ПЕРЕДАЧЕ В АРЕНДУ НЕИСПОЛЬЗУЕМЫХ ОБЪЕКТОВ</w:t>
      </w:r>
    </w:p>
    <w:p w:rsidR="00EF08B5" w:rsidRDefault="00FE48D8">
      <w:pPr>
        <w:pStyle w:val="ConsPlusTitle0"/>
        <w:jc w:val="center"/>
      </w:pPr>
      <w:r>
        <w:t xml:space="preserve">КУЛЬТУРНОГО НАСЛЕДИЯ, </w:t>
      </w:r>
      <w:proofErr w:type="gramStart"/>
      <w:r>
        <w:t>ВКЛЮЧЕННЫХ</w:t>
      </w:r>
      <w:proofErr w:type="gramEnd"/>
      <w:r>
        <w:t xml:space="preserve"> В ЕДИНЫЙ</w:t>
      </w:r>
    </w:p>
    <w:p w:rsidR="00EF08B5" w:rsidRDefault="00FE48D8">
      <w:pPr>
        <w:pStyle w:val="ConsPlusTitle0"/>
        <w:jc w:val="center"/>
      </w:pPr>
      <w:r>
        <w:t xml:space="preserve">ГОСУДАРСТВЕННЫЙ РЕЕСТР ОБЪЕКТОВ </w:t>
      </w:r>
      <w:proofErr w:type="gramStart"/>
      <w:r>
        <w:t>КУЛЬТУРНОГО</w:t>
      </w:r>
      <w:proofErr w:type="gramEnd"/>
    </w:p>
    <w:p w:rsidR="00EF08B5" w:rsidRDefault="00FE48D8">
      <w:pPr>
        <w:pStyle w:val="ConsPlusTitle0"/>
        <w:jc w:val="center"/>
      </w:pPr>
      <w:r>
        <w:t>НАСЛЕДИЯ (ПАМЯТНИКОВ ИСТОРИИ И КУЛЬТУРЫ)</w:t>
      </w:r>
    </w:p>
    <w:p w:rsidR="00EF08B5" w:rsidRDefault="00FE48D8">
      <w:pPr>
        <w:pStyle w:val="ConsPlusTitle0"/>
        <w:jc w:val="center"/>
      </w:pPr>
      <w:r>
        <w:t>НАРОДОВ РОССИЙСКОЙ ФЕДЕРАЦИИ, НАХОДЯЩИХСЯ</w:t>
      </w:r>
    </w:p>
    <w:p w:rsidR="00EF08B5" w:rsidRDefault="00FE48D8">
      <w:pPr>
        <w:pStyle w:val="ConsPlusTitle0"/>
        <w:jc w:val="center"/>
      </w:pPr>
      <w:r>
        <w:t xml:space="preserve">В НЕУДОВЛЕТВОРИТЕЛЬНОМ СОСТОЯНИИ, </w:t>
      </w:r>
      <w:proofErr w:type="gramStart"/>
      <w:r>
        <w:t>ЯВЛЯЮЩИХСЯ</w:t>
      </w:r>
      <w:proofErr w:type="gramEnd"/>
    </w:p>
    <w:p w:rsidR="00EF08B5" w:rsidRDefault="00FE48D8">
      <w:pPr>
        <w:pStyle w:val="ConsPlusTitle0"/>
        <w:jc w:val="center"/>
      </w:pPr>
      <w:r>
        <w:t>СОБСТВЕННОСТЬЮ МУНИЦИПАЛЬНОГО ОБРАЗОВАНИЯ</w:t>
      </w:r>
    </w:p>
    <w:p w:rsidR="00EF08B5" w:rsidRDefault="00FE48D8">
      <w:pPr>
        <w:pStyle w:val="ConsPlusTitle0"/>
        <w:jc w:val="center"/>
      </w:pPr>
      <w:r>
        <w:t>ГОРОДСКОГО ОКРУГА "СЫКТЫВКАР"</w:t>
      </w:r>
    </w:p>
    <w:p w:rsidR="00EF08B5" w:rsidRDefault="00EF08B5">
      <w:pPr>
        <w:pStyle w:val="ConsPlusNormal0"/>
      </w:pPr>
    </w:p>
    <w:p w:rsidR="00EF08B5" w:rsidRDefault="00FE48D8">
      <w:pPr>
        <w:pStyle w:val="ConsPlusNormal0"/>
        <w:ind w:firstLine="540"/>
        <w:jc w:val="both"/>
      </w:pPr>
      <w:r>
        <w:t xml:space="preserve">1. </w:t>
      </w:r>
      <w:proofErr w:type="gramStart"/>
      <w:r>
        <w:t xml:space="preserve">Настоящее Положение определяет условия установления </w:t>
      </w:r>
      <w:r>
        <w:t>льготной арендной платы физическим и юридическим лицам при передаче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>
        <w:t>, находящихся в неудовлетворительном состоянии и являющихся собственностью МО ГО "Сыктывкар" (далее - объекты культурного наследия), перечень документов, необходимых для ее установления, а также размер льготной арендной</w:t>
      </w:r>
      <w:proofErr w:type="gramEnd"/>
      <w:r>
        <w:t xml:space="preserve"> платы для объекта культурного наслед</w:t>
      </w:r>
      <w:r>
        <w:t>ия.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2. Критерии отнесения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объектам культурного наследия, находящимся в неудовлетворитель</w:t>
      </w:r>
      <w:r>
        <w:t>ном состоянии, указываются в техническом заключении по обследованию объекта культурного наследия регионального значения организации (индивидуального предпринимателя), проводивше</w:t>
      </w:r>
      <w:proofErr w:type="gramStart"/>
      <w:r>
        <w:t>й(</w:t>
      </w:r>
      <w:proofErr w:type="gramEnd"/>
      <w:r>
        <w:t>его) обследование и имеющей(его) лицензию на осуществление деятельности по со</w:t>
      </w:r>
      <w:r>
        <w:t xml:space="preserve">хранению объектов культурного наследия (памятников истории и культуры) народов Российской Федерации, предоставленную в соответствии с </w:t>
      </w:r>
      <w:hyperlink r:id="rId14" w:tooltip="Постановление Правительства РФ от 28.01.2022 N 67 (ред. от 05.02.2024) &quot;О лицензировании деятельности по сохранению объектов культурного наследия (памятников истории и культуры) народов Российской Федерации и признании утратившими силу некоторых актов Правител">
        <w:r>
          <w:rPr>
            <w:color w:val="0000FF"/>
          </w:rPr>
          <w:t>постановлением</w:t>
        </w:r>
      </w:hyperlink>
      <w:r>
        <w:t xml:space="preserve"> П</w:t>
      </w:r>
      <w:r>
        <w:t xml:space="preserve">равительства Российской Федерации от 28.01.2022 N 67 "О лицензировании деятельности по сохранению объектов культурного наследия (памятников истории и культуры) народов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некоторых актов Правительства Российск</w:t>
      </w:r>
      <w:r>
        <w:t>ой Федерации".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 xml:space="preserve">3. </w:t>
      </w:r>
      <w:proofErr w:type="gramStart"/>
      <w:r>
        <w:t xml:space="preserve">Льготная арендная плата устанавливается для объекта культурного наследия, соответствующего критериям неудовлетворительного состояния объектов культурного наследия, утвержденным </w:t>
      </w:r>
      <w:hyperlink r:id="rId15" w:tooltip="Постановление Правительства РФ от 29.06.2015 N 646 &quot;Об утверждении критериев отнесения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к объек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29.06.2015 N 646 "Об утверждении критериев отнесения объектов культурного наследия, включенных в единый государственный реестр объектов культурного наследия (</w:t>
      </w:r>
      <w:r>
        <w:t>памятников истории и культуры) народов Российской Федерации, к объектам культурного наследия, находящимся в неудовлетворительном состоянии", по результатам проведения аукциона на право</w:t>
      </w:r>
      <w:proofErr w:type="gramEnd"/>
      <w:r>
        <w:t xml:space="preserve"> заключения договора аренды объекта культурного наследия, со дня заключе</w:t>
      </w:r>
      <w:r>
        <w:t xml:space="preserve">ния такого договора с </w:t>
      </w:r>
      <w:r>
        <w:lastRenderedPageBreak/>
        <w:t>администрацией МО ГО "Сыктывкар".</w:t>
      </w:r>
    </w:p>
    <w:p w:rsidR="00EF08B5" w:rsidRDefault="00FE48D8">
      <w:pPr>
        <w:pStyle w:val="ConsPlusNormal0"/>
        <w:spacing w:before="240"/>
        <w:ind w:firstLine="540"/>
        <w:jc w:val="both"/>
      </w:pPr>
      <w:proofErr w:type="gramStart"/>
      <w:r>
        <w:t>Существенным условием договора аренды объекта культурного наследия, находящегося в неудовлетворительном состоянии, являющегося собственностью МО ГО "Сыктывкар", является обязанность арендатора провест</w:t>
      </w:r>
      <w:r>
        <w:t xml:space="preserve">и работы по сохранению такого объекта культурного наследия в соответствии с охранным обязательством, предусмотренным </w:t>
      </w:r>
      <w:hyperlink r:id="rId16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color w:val="0000FF"/>
          </w:rPr>
          <w:t>статьей 47.6</w:t>
        </w:r>
      </w:hyperlink>
      <w:r>
        <w:t xml:space="preserve"> Федерального закона от 25.06.2002 N 73-ФЗ "</w:t>
      </w:r>
      <w:r>
        <w:t>Об объектах культурного наследия (памятник истории и культуры) народов Российской Федерации" (далее - Федеральный закон об объектах культурного наследия), с</w:t>
      </w:r>
      <w:proofErr w:type="gramEnd"/>
      <w:r>
        <w:t xml:space="preserve"> учетом технического заключения по обследованию объекта культурного наследия регионального значения,</w:t>
      </w:r>
      <w:r>
        <w:t xml:space="preserve"> в срок, не превышающий семи лет со дня передачи указанного объекта культурного наследия в аренду, включая срок подготовки и согласования проектной документации по сохранению объекта культурного наследия, не превышающий двух лет со дня передачи его в аренд</w:t>
      </w:r>
      <w:r>
        <w:t>у.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 xml:space="preserve">4. </w:t>
      </w:r>
      <w:proofErr w:type="gramStart"/>
      <w:r>
        <w:t xml:space="preserve">Аукцион на право заключения договора аренды объекта культурного наследия проводится в порядке, предусмотренном </w:t>
      </w:r>
      <w:hyperlink r:id="rId17" w:tooltip="Приказ ФАС России от 21.03.2023 N 147/23 (ред. от 23.09.2024) &quot;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">
        <w:r>
          <w:rPr>
            <w:color w:val="0000FF"/>
          </w:rPr>
          <w:t>Приказом</w:t>
        </w:r>
      </w:hyperlink>
      <w:r>
        <w:t xml:space="preserve"> Федеральной антимонополь</w:t>
      </w:r>
      <w:r>
        <w:t>ной службы России от 21.03.2023 N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</w:t>
      </w:r>
      <w:r>
        <w:t>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t xml:space="preserve"> указанных договоров может осуществляться путем проведения торгов в форме конкурса" (далее - Приказ ФАС N 147/23).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5. Уполномоченным орга</w:t>
      </w:r>
      <w:r>
        <w:t>ном от имени администрации МО ГО "Сыктывкар" на осуществление мероприятий по организац</w:t>
      </w:r>
      <w:proofErr w:type="gramStart"/>
      <w:r>
        <w:t>ии ау</w:t>
      </w:r>
      <w:proofErr w:type="gramEnd"/>
      <w:r>
        <w:t>кциона на право заключения договора аренды объекта культурного наследия является Комитет по управлению муниципальным имуществом администрации МО ГО "Сыктывкар" (дале</w:t>
      </w:r>
      <w:r>
        <w:t>е - организатор аукциона).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 xml:space="preserve">6. </w:t>
      </w:r>
      <w:proofErr w:type="gramStart"/>
      <w:r>
        <w:t xml:space="preserve">Информация о проведении аукциона на право заключения договора аренды объекта культурного наследия размещается организатором аукциона на официальном сайте </w:t>
      </w:r>
      <w:hyperlink r:id="rId18">
        <w:r>
          <w:rPr>
            <w:color w:val="0000FF"/>
          </w:rPr>
          <w:t>http://new.torgi.gov.ru/</w:t>
        </w:r>
      </w:hyperlink>
      <w:r>
        <w:t xml:space="preserve"> (ГИ</w:t>
      </w:r>
      <w:r>
        <w:t>С Торги) в информационно-телекоммуникационной сети "Интернет", место проведения аукциона: электронная площадка - универсальная торговая платформа АО "Сбербанк-АСТ", размещенная на сайте http://utp.sberbank-ast.ru в информационно-телекоммуникационной сети "</w:t>
      </w:r>
      <w:r>
        <w:t>Интернет" (торговая секция "Приватизация, аренда и продажа прав").</w:t>
      </w:r>
      <w:proofErr w:type="gramEnd"/>
    </w:p>
    <w:p w:rsidR="00EF08B5" w:rsidRDefault="00FE48D8">
      <w:pPr>
        <w:pStyle w:val="ConsPlusNormal0"/>
        <w:spacing w:before="240"/>
        <w:ind w:firstLine="540"/>
        <w:jc w:val="both"/>
      </w:pPr>
      <w:r>
        <w:t>В составе информации о проведен</w:t>
      </w:r>
      <w:proofErr w:type="gramStart"/>
      <w:r>
        <w:t>ии ау</w:t>
      </w:r>
      <w:proofErr w:type="gramEnd"/>
      <w:r>
        <w:t>кциона на право заключения договора аренды объекта культурного наследия, помимо иной информации, предусмотренной законодательством Российской Федерации р</w:t>
      </w:r>
      <w:r>
        <w:t>азмещаются: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 xml:space="preserve">1) основные характеристики предлагаемого в аренду объекта культурного наследия, включая техническое состояние такого объекта и описание предмета его охраны в соответствии с охранным обязательством, </w:t>
      </w:r>
      <w:hyperlink r:id="rId19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color w:val="0000FF"/>
          </w:rPr>
          <w:t>статьей 47.6</w:t>
        </w:r>
      </w:hyperlink>
      <w:r>
        <w:t xml:space="preserve"> Федерального закона об объектах культурного наследия;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2) проект договора аренды;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3) перечень основных работ по сохранению объекта культурного наследия, являющегося собственностью МО ГО "Сыктывкар";</w:t>
      </w:r>
    </w:p>
    <w:p w:rsidR="00EF08B5" w:rsidRDefault="00FE48D8">
      <w:pPr>
        <w:pStyle w:val="ConsPlusNormal0"/>
        <w:spacing w:before="240"/>
        <w:ind w:firstLine="540"/>
        <w:jc w:val="both"/>
      </w:pPr>
      <w:bookmarkStart w:id="2" w:name="P60"/>
      <w:bookmarkEnd w:id="2"/>
      <w:r>
        <w:lastRenderedPageBreak/>
        <w:t>4) обяза</w:t>
      </w:r>
      <w:r>
        <w:t>тельство арендатора провести работы по сохранению объекта культурного наследия в срок, не превышающий семи лет со дня передачи объекта культурного наследия в аренду, включая срок подготовки и согласования проектной документации по сохранению объекта культу</w:t>
      </w:r>
      <w:r>
        <w:t>рного наследия, не превышающий двух лет со дня передачи его в аренду;</w:t>
      </w:r>
    </w:p>
    <w:p w:rsidR="00EF08B5" w:rsidRDefault="00FE48D8">
      <w:pPr>
        <w:pStyle w:val="ConsPlusNormal0"/>
        <w:spacing w:before="240"/>
        <w:ind w:firstLine="540"/>
        <w:jc w:val="both"/>
      </w:pPr>
      <w:bookmarkStart w:id="3" w:name="P61"/>
      <w:bookmarkEnd w:id="3"/>
      <w:proofErr w:type="gramStart"/>
      <w:r>
        <w:t>5) обязательство арендатора 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объеме, определя</w:t>
      </w:r>
      <w:r>
        <w:t>емом исходя из стоимости работ по сохранению объекта культурного наследия (не менее 35 процентов), указанной в согласованной в установленном порядке проектной документации на проведение таких работ (далее - независимая гарантия), в срок, не превышающий одн</w:t>
      </w:r>
      <w:r>
        <w:t>ого месяца со дня согласования в установленном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 xml:space="preserve"> проектной документации.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7. После объявления аукциона заинтересованное в заключени</w:t>
      </w:r>
      <w:proofErr w:type="gramStart"/>
      <w:r>
        <w:t>и</w:t>
      </w:r>
      <w:proofErr w:type="gramEnd"/>
      <w:r>
        <w:t xml:space="preserve"> договора аренды лицо (далее - заявитель) представляет организатору аукциона для участия в аукционе помимо документов, </w:t>
      </w:r>
      <w:r>
        <w:t xml:space="preserve">указанных в </w:t>
      </w:r>
      <w:hyperlink r:id="rId20" w:tooltip="Приказ ФАС России от 21.03.2023 N 147/23 (ред. от 23.09.2024) &quot;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">
        <w:r>
          <w:rPr>
            <w:color w:val="0000FF"/>
          </w:rPr>
          <w:t>Приказе</w:t>
        </w:r>
      </w:hyperlink>
      <w:r>
        <w:t xml:space="preserve"> ФАС N 147/23 и в </w:t>
      </w:r>
      <w:hyperlink w:anchor="P60" w:tooltip="4) обязательство арендатора провести работы по сохранению объекта культурного наследия в срок, не превышающий семи лет со дня передачи объекта культурного наследия в аренду, включая срок подготовки и согласования проектной документации по сохранению объекта ку">
        <w:r>
          <w:rPr>
            <w:color w:val="0000FF"/>
          </w:rPr>
          <w:t>подпунктах 4</w:t>
        </w:r>
      </w:hyperlink>
      <w:r>
        <w:t xml:space="preserve">, </w:t>
      </w:r>
      <w:hyperlink w:anchor="P61" w:tooltip="5) обязательство арендатора 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, определяемом исходя из стоимости работ по сохранению объекта культурного наследия ">
        <w:r>
          <w:rPr>
            <w:color w:val="0000FF"/>
          </w:rPr>
          <w:t>5 пункта 6</w:t>
        </w:r>
      </w:hyperlink>
      <w:r>
        <w:t xml:space="preserve"> настоящего Положения, заявку, в которой указывается следующая информация: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1) полное и сокращенное наименование и организационно-правовая форма заявителя, его местонахождение, банковские реквизиты - для юридическ</w:t>
      </w:r>
      <w:r>
        <w:t>ого лица;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2) фамилия, имя, отчество заявителя, его адрес, данные документа, удостоверяющего личность, - для физического лица;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3) сведения об объекте культурного наследия, в отношении которого предполагается заключение договора аренды;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4) обоснование цели аренды объекта культурного наследия;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 xml:space="preserve">5) об отсутствии задолженности по обязательным платежам в бюджеты бюджетной системы Российской Федерации и об отсутствии нарушений охранного обязательства, предусмотренного </w:t>
      </w:r>
      <w:hyperlink r:id="rId21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>
        <w:r>
          <w:rPr>
            <w:color w:val="0000FF"/>
          </w:rPr>
          <w:t>статьей 47.6</w:t>
        </w:r>
      </w:hyperlink>
      <w:r>
        <w:t xml:space="preserve"> Федерального закона об объектах культурного наследия, в отношении другого объекта культурного наследия, арендатором или собственником которого является заявитель.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8. При проведен</w:t>
      </w:r>
      <w:proofErr w:type="gramStart"/>
      <w:r>
        <w:t>ии ау</w:t>
      </w:r>
      <w:proofErr w:type="gramEnd"/>
      <w:r>
        <w:t>кци</w:t>
      </w:r>
      <w:r>
        <w:t>она начальный размер арендной платы устанавливается в сумме 1 рубль в год за один объект культурного наследия.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9. Определенный по результатам проведения аукциона размер арендной платы увеличению в период действия договора аренды не подлежит.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10. Победителе</w:t>
      </w:r>
      <w:r>
        <w:t>м аукциона признается заявитель, подавший заявку на участие в аукционе и определенный по результатам аукциона победителем аукциона, либо единственным участником аукциона, либо заявителем, подавшим единственную заявку на участие в аукционе.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С победителем ау</w:t>
      </w:r>
      <w:r>
        <w:t>кциона заключается договор аренды объекта культурного наследия по истечении десяти календарных дней со дня окончания аукциона.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 xml:space="preserve">11. </w:t>
      </w:r>
      <w:proofErr w:type="gramStart"/>
      <w:r>
        <w:t xml:space="preserve">После полного исполнения арендатором обязанности провести работы по сохранению объекта культурного наследия в соответствии с </w:t>
      </w:r>
      <w:r>
        <w:t xml:space="preserve">охранным обязательством, с учетом технического </w:t>
      </w:r>
      <w:r>
        <w:lastRenderedPageBreak/>
        <w:t>заключения по обследованию объекта культурного наследия регионального значения в срок, не превышающий семи лет со дня передачи указанного объекта культурного наследия в аренду, включая срок подготовки и соглас</w:t>
      </w:r>
      <w:r>
        <w:t>ования проектной документации по сохранению объекта культурного наследия, не превышающий двух лет со</w:t>
      </w:r>
      <w:proofErr w:type="gramEnd"/>
      <w:r>
        <w:t xml:space="preserve"> дня передачи его в аренду, арендатор приобретает право сдавать арендованное имущество в субаренду (поднаем) и предоставлять арендованное имущество в безвоз</w:t>
      </w:r>
      <w:r>
        <w:t>мездное пользование в соответствии с законодательством Российской Федерации при условии письменного уведомления арендодателя.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 xml:space="preserve">12. </w:t>
      </w:r>
      <w:proofErr w:type="gramStart"/>
      <w:r>
        <w:t>При нарушении арендатором обязанности подготовить и согласовать проектную документацию по сохранению объекта культурного насле</w:t>
      </w:r>
      <w:r>
        <w:t>дия в срок, не превышающий двух лет со дня передачи его в аренду, либо провести работы по сохранению объекта культурного наследия в соответствии с охранным обязательством, с учетом технического заключения по обследованию объекта культурного наследия регион</w:t>
      </w:r>
      <w:r>
        <w:t>ального значения в срок, не превышающий семи лет со дня передачи объекта</w:t>
      </w:r>
      <w:proofErr w:type="gramEnd"/>
      <w:r>
        <w:t xml:space="preserve"> культурного наследия в аренду, арендодатель направляет арендатору уведомление об одностороннем расторжении договора аренды объекта культурного наследия.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При этом в случае, если наруше</w:t>
      </w:r>
      <w:r>
        <w:t>ние выразилось в неисполнении арендатором обязанности провести работы по сохранению объекта культурного наследия, сумма независимой гарантии при расторжении договора аренды объекта культурного наследия подлежит уплате арендодателю.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13. Договор аренды объек</w:t>
      </w:r>
      <w:r>
        <w:t>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получить и предоставить арендодателю независимую гарантию, а также по</w:t>
      </w:r>
      <w:r>
        <w:t xml:space="preserve"> иным основаниям, предусмотренным законом и договором аренды объекта культурного наследия.</w:t>
      </w:r>
    </w:p>
    <w:p w:rsidR="00EF08B5" w:rsidRDefault="00FE48D8">
      <w:pPr>
        <w:pStyle w:val="ConsPlusNormal0"/>
        <w:spacing w:before="240"/>
        <w:ind w:firstLine="540"/>
        <w:jc w:val="both"/>
      </w:pPr>
      <w:r>
        <w:t>14. При расторжении договора аренды объекта культурного наследия (прекращения срока действия) арендатор не вправе требовать возмещение стоимости неотделимых улучшени</w:t>
      </w:r>
      <w:r>
        <w:t xml:space="preserve">й, произведенных арендатором в период </w:t>
      </w:r>
      <w:proofErr w:type="gramStart"/>
      <w:r>
        <w:t>действия договора аренды объекта культурного наследия</w:t>
      </w:r>
      <w:proofErr w:type="gramEnd"/>
      <w:r>
        <w:t>.</w:t>
      </w:r>
    </w:p>
    <w:p w:rsidR="00EF08B5" w:rsidRDefault="00EF08B5">
      <w:pPr>
        <w:pStyle w:val="ConsPlusNormal0"/>
      </w:pPr>
    </w:p>
    <w:p w:rsidR="00EF08B5" w:rsidRDefault="00EF08B5">
      <w:pPr>
        <w:pStyle w:val="ConsPlusNormal0"/>
      </w:pPr>
    </w:p>
    <w:p w:rsidR="00EF08B5" w:rsidRDefault="00EF08B5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EF08B5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8D8" w:rsidRDefault="00FE48D8">
      <w:r>
        <w:separator/>
      </w:r>
    </w:p>
  </w:endnote>
  <w:endnote w:type="continuationSeparator" w:id="0">
    <w:p w:rsidR="00FE48D8" w:rsidRDefault="00FE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B5" w:rsidRDefault="00EF08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EF08B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F08B5" w:rsidRDefault="00FE48D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vAlign w:val="center"/>
        </w:tcPr>
        <w:p w:rsidR="00EF08B5" w:rsidRDefault="00FE48D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F08B5" w:rsidRDefault="00FE48D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E0AC7">
            <w:rPr>
              <w:rFonts w:ascii="Tahoma" w:hAnsi="Tahoma" w:cs="Tahoma"/>
              <w:noProof/>
            </w:rPr>
            <w:t>6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E0AC7">
            <w:rPr>
              <w:rFonts w:ascii="Tahoma" w:hAnsi="Tahoma" w:cs="Tahoma"/>
              <w:noProof/>
            </w:rPr>
            <w:t>6</w:t>
          </w:r>
          <w:r>
            <w:fldChar w:fldCharType="end"/>
          </w:r>
        </w:p>
      </w:tc>
    </w:tr>
  </w:tbl>
  <w:p w:rsidR="00EF08B5" w:rsidRDefault="00FE48D8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8B5" w:rsidRDefault="00EF08B5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EF08B5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EF08B5" w:rsidRDefault="00FE48D8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EF08B5" w:rsidRDefault="00FE48D8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EF08B5" w:rsidRDefault="00FE48D8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DE0AC7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DE0AC7">
            <w:rPr>
              <w:rFonts w:ascii="Tahoma" w:hAnsi="Tahoma" w:cs="Tahoma"/>
              <w:noProof/>
            </w:rPr>
            <w:t>6</w:t>
          </w:r>
          <w:r>
            <w:fldChar w:fldCharType="end"/>
          </w:r>
        </w:p>
      </w:tc>
    </w:tr>
  </w:tbl>
  <w:p w:rsidR="00EF08B5" w:rsidRDefault="00FE48D8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8D8" w:rsidRDefault="00FE48D8">
      <w:r>
        <w:separator/>
      </w:r>
    </w:p>
  </w:footnote>
  <w:footnote w:type="continuationSeparator" w:id="0">
    <w:p w:rsidR="00FE48D8" w:rsidRDefault="00FE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EF08B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EF08B5" w:rsidRDefault="00FE48D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Совета МО городского округа "Сыктывкар" от 28.03.2024 N 29/2024-416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</w:t>
          </w:r>
          <w:r>
            <w:rPr>
              <w:rFonts w:ascii="Tahoma" w:hAnsi="Tahoma" w:cs="Tahoma"/>
              <w:sz w:val="16"/>
              <w:szCs w:val="16"/>
            </w:rPr>
            <w:t>и Положения об установлении ль...</w:t>
          </w:r>
        </w:p>
      </w:tc>
      <w:tc>
        <w:tcPr>
          <w:tcW w:w="2300" w:type="pct"/>
          <w:vAlign w:val="center"/>
        </w:tcPr>
        <w:p w:rsidR="00EF08B5" w:rsidRDefault="00FE48D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30.05.2025</w:t>
          </w:r>
        </w:p>
      </w:tc>
    </w:tr>
  </w:tbl>
  <w:p w:rsidR="00EF08B5" w:rsidRDefault="00EF08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F08B5" w:rsidRDefault="00EF08B5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EF08B5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EF08B5" w:rsidRDefault="00FE48D8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Решение Совета МО городского округа "Сыктывкар" от </w:t>
          </w:r>
          <w:r>
            <w:rPr>
              <w:rFonts w:ascii="Tahoma" w:hAnsi="Tahoma" w:cs="Tahoma"/>
              <w:sz w:val="16"/>
              <w:szCs w:val="16"/>
            </w:rPr>
            <w:t>28.03.2024 N 29/2024-416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Положения об установлении ль...</w:t>
          </w:r>
        </w:p>
      </w:tc>
      <w:tc>
        <w:tcPr>
          <w:tcW w:w="2300" w:type="pct"/>
          <w:vAlign w:val="center"/>
        </w:tcPr>
        <w:p w:rsidR="00EF08B5" w:rsidRDefault="00FE48D8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30.05.2025</w:t>
          </w:r>
        </w:p>
      </w:tc>
    </w:tr>
  </w:tbl>
  <w:p w:rsidR="00EF08B5" w:rsidRDefault="00EF08B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EF08B5" w:rsidRDefault="00EF08B5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B5"/>
    <w:rsid w:val="00DE0AC7"/>
    <w:rsid w:val="00EF08B5"/>
    <w:rsid w:val="00F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DE0A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A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DE0A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RLAW096&amp;n=247296&amp;date=30.05.2025&amp;dst=100247&amp;field=134" TargetMode="External"/><Relationship Id="rId18" Type="http://schemas.openxmlformats.org/officeDocument/2006/relationships/hyperlink" Target="http://new.torgi.gov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3188&amp;date=30.05.2025&amp;dst=691&amp;field=134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login.consultant.ru/link/?req=doc&amp;base=LAW&amp;n=490540&amp;date=30.05.2025" TargetMode="External"/><Relationship Id="rId17" Type="http://schemas.openxmlformats.org/officeDocument/2006/relationships/hyperlink" Target="https://login.consultant.ru/link/?req=doc&amp;base=LAW&amp;n=490540&amp;date=30.05.2025" TargetMode="External"/><Relationship Id="rId25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93188&amp;date=30.05.2025&amp;dst=691&amp;field=134" TargetMode="External"/><Relationship Id="rId20" Type="http://schemas.openxmlformats.org/officeDocument/2006/relationships/hyperlink" Target="https://login.consultant.ru/link/?req=doc&amp;base=LAW&amp;n=490540&amp;date=30.05.2025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93188&amp;date=30.05.2025&amp;dst=901&amp;field=134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182097&amp;date=30.05.2025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80999&amp;date=30.05.2025&amp;dst=101377&amp;field=134" TargetMode="External"/><Relationship Id="rId19" Type="http://schemas.openxmlformats.org/officeDocument/2006/relationships/hyperlink" Target="https://login.consultant.ru/link/?req=doc&amp;base=LAW&amp;n=493188&amp;date=30.05.2025&amp;dst=691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" TargetMode="External"/><Relationship Id="rId14" Type="http://schemas.openxmlformats.org/officeDocument/2006/relationships/hyperlink" Target="https://login.consultant.ru/link/?req=doc&amp;base=LAW&amp;n=470330&amp;date=30.05.2025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2662</Words>
  <Characters>15179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МО городского округа "Сыктывкар" от 28.03.2024 N 29/2024-416
"Об утверждении Положения об установлении льготной арендной платы при передаче в аренду неиспользуемых объектов культурного наследия, включенных в единый государственный реестр об</vt:lpstr>
    </vt:vector>
  </TitlesOfParts>
  <Company>КонсультантПлюс Версия 4024.00.50</Company>
  <LinksUpToDate>false</LinksUpToDate>
  <CharactersWithSpaces>17806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МО городского округа "Сыктывкар" от 28.03.2024 N 29/2024-416
"Об утверждении Положения об установлении льготной арендной платы при передаче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состоянии, являющихся собственностью муниципального образования городского округа "Сыктывкар"</dc:title>
  <dc:creator>Янчук Ирина Николаевна</dc:creator>
  <cp:lastModifiedBy>Янчук Ирина Николаевна</cp:lastModifiedBy>
  <cp:revision>2</cp:revision>
  <dcterms:created xsi:type="dcterms:W3CDTF">2025-05-30T09:23:00Z</dcterms:created>
  <dcterms:modified xsi:type="dcterms:W3CDTF">2025-05-30T09:23:00Z</dcterms:modified>
</cp:coreProperties>
</file>